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ascii="Calibri" w:hAnsi="Calibri" w:cs="Calibri"/>
          <w:b/>
          <w:bCs/>
          <w:sz w:val="22"/>
          <w:szCs w:val="22"/>
        </w:rPr>
      </w:pPr>
      <w:r>
        <w:rPr>
          <w:rFonts w:cs="Calibri" w:ascii="Calibri" w:hAnsi="Calibri"/>
          <w:b/>
          <w:bCs/>
          <w:sz w:val="22"/>
          <w:szCs w:val="22"/>
        </w:rPr>
        <w:t>ANEXO III – DOCUMENTAÇÃO EXIGIDA PARA HABILITAÇÃO</w:t>
      </w:r>
    </w:p>
    <w:p>
      <w:pPr>
        <w:pStyle w:val="Normal"/>
        <w:jc w:val="center"/>
        <w:rPr>
          <w:rFonts w:ascii="Calibri" w:hAnsi="Calibri" w:cs="Calibri"/>
          <w:b/>
          <w:bCs/>
        </w:rPr>
      </w:pPr>
      <w:r>
        <w:rPr>
          <w:rFonts w:cs="Calibri"/>
          <w:b/>
          <w:bCs/>
        </w:rPr>
      </w:r>
    </w:p>
    <w:p>
      <w:pPr>
        <w:pStyle w:val="Normal"/>
        <w:rPr>
          <w:rFonts w:ascii="Calibri" w:hAnsi="Calibri" w:cs="Calibri"/>
          <w:b/>
        </w:rPr>
      </w:pPr>
      <w:r>
        <w:rPr>
          <w:rFonts w:cs="Calibri"/>
          <w:b/>
        </w:rPr>
        <w:t>DA HABILITAÇÃO</w:t>
      </w:r>
    </w:p>
    <w:p>
      <w:pPr>
        <w:pStyle w:val="PADRO"/>
        <w:keepNext w:val="false"/>
        <w:widowControl/>
        <w:spacing w:before="120" w:after="120"/>
        <w:ind w:hanging="0" w:left="360"/>
        <w:rPr>
          <w:rFonts w:ascii="Calibri" w:hAnsi="Calibri" w:cs="Calibri"/>
          <w:sz w:val="22"/>
          <w:szCs w:val="22"/>
          <w:lang w:eastAsia="en-US"/>
        </w:rPr>
      </w:pPr>
      <w:r>
        <w:rPr>
          <w:rFonts w:cs="Calibri" w:ascii="Calibri" w:hAnsi="Calibri"/>
          <w:sz w:val="22"/>
          <w:szCs w:val="22"/>
        </w:rPr>
        <w:t>Os documentos necessários para demonstrar a capacidade proponente de realizar o objeto da licitação, que serão exigidos para fins de habilitação, nos termos dos arts. 62 a 70 da Lei nº 14.133, de 2021.</w:t>
      </w:r>
    </w:p>
    <w:p>
      <w:pPr>
        <w:pStyle w:val="PADRO"/>
        <w:keepNext w:val="false"/>
        <w:widowControl/>
        <w:numPr>
          <w:ilvl w:val="0"/>
          <w:numId w:val="1"/>
        </w:numPr>
        <w:spacing w:before="120" w:after="120"/>
        <w:rPr>
          <w:rFonts w:ascii="Calibri" w:hAnsi="Calibri" w:cs="Calibri"/>
          <w:sz w:val="22"/>
          <w:szCs w:val="22"/>
          <w:lang w:eastAsia="ar-SA"/>
        </w:rPr>
      </w:pPr>
      <w:r>
        <w:rPr>
          <w:rFonts w:cs="Calibri" w:ascii="Calibri" w:hAnsi="Calibri"/>
          <w:sz w:val="22"/>
          <w:szCs w:val="22"/>
          <w:lang w:eastAsia="ar-SA"/>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hanging="283" w:left="709"/>
        <w:contextualSpacing/>
        <w:jc w:val="both"/>
        <w:rPr>
          <w:rFonts w:ascii="Calibri" w:hAnsi="Calibri" w:cs="Calibri"/>
          <w:lang w:eastAsia="ar-SA"/>
        </w:rPr>
      </w:pPr>
      <w:r>
        <w:rPr>
          <w:rFonts w:cs="Calibri"/>
          <w:lang w:eastAsia="ar-SA"/>
        </w:rPr>
        <w:t>a) Cadastro Nacional de Empresas Inidôneas e Suspensas - CEIS, mantido pela Controladoria-Geral da União (</w:t>
      </w:r>
      <w:hyperlink r:id="rId2">
        <w:r>
          <w:rPr>
            <w:rStyle w:val="Hyperlink"/>
            <w:rFonts w:eastAsia="Calibri" w:cs="Calibri"/>
            <w:lang w:eastAsia="ar-SA"/>
          </w:rPr>
          <w:t>www.portaldatransparencia.gov.br/ceis</w:t>
        </w:r>
      </w:hyperlink>
      <w:r>
        <w:rPr>
          <w:rFonts w:cs="Calibri"/>
          <w:lang w:eastAsia="ar-SA"/>
        </w:rPr>
        <w:t xml:space="preserve">);  </w:t>
      </w:r>
    </w:p>
    <w:p>
      <w:pPr>
        <w:pStyle w:val="ListParagraph"/>
        <w:spacing w:lineRule="auto" w:line="276" w:before="120" w:after="120"/>
        <w:ind w:hanging="283" w:left="709"/>
        <w:contextualSpacing/>
        <w:jc w:val="both"/>
        <w:rPr>
          <w:rFonts w:ascii="Calibri" w:hAnsi="Calibri" w:cs="Calibri"/>
          <w:lang w:eastAsia="ar-SA"/>
        </w:rPr>
      </w:pPr>
      <w:r>
        <w:rPr>
          <w:rFonts w:cs="Calibri"/>
          <w:lang w:eastAsia="ar-SA"/>
        </w:rPr>
        <w:t>b) Cadastro Nacional de Condenações Cíveis por Atos de Improbidade Administrativa, mantido pelo Conselho Nacional de Justiça (</w:t>
      </w:r>
      <w:hyperlink r:id="rId3">
        <w:r>
          <w:rPr>
            <w:rStyle w:val="Hyperlink"/>
            <w:rFonts w:eastAsia="Calibri" w:cs="Calibri"/>
            <w:lang w:eastAsia="ar-SA"/>
          </w:rPr>
          <w:t>www.cnj.jus.br/improbidade_adm/consultar_requerido.php</w:t>
        </w:r>
      </w:hyperlink>
      <w:r>
        <w:rPr>
          <w:rFonts w:cs="Calibri"/>
          <w:lang w:eastAsia="ar-SA"/>
        </w:rPr>
        <w:t xml:space="preserve">).  </w:t>
      </w:r>
    </w:p>
    <w:p>
      <w:pPr>
        <w:pStyle w:val="ListParagraph"/>
        <w:spacing w:lineRule="auto" w:line="276" w:before="120" w:after="120"/>
        <w:ind w:hanging="283" w:left="709"/>
        <w:contextualSpacing/>
        <w:jc w:val="both"/>
        <w:rPr>
          <w:rFonts w:ascii="Calibri" w:hAnsi="Calibri" w:cs="Calibri"/>
        </w:rPr>
      </w:pPr>
      <w:r>
        <w:rPr>
          <w:rFonts w:cs="Calibri"/>
          <w:lang w:eastAsia="ar-SA"/>
        </w:rPr>
        <w:t>c) Lista de Inidôneos mantida pelo Tribunal de Contas da União - TCU;</w:t>
      </w:r>
    </w:p>
    <w:p>
      <w:pPr>
        <w:pStyle w:val="PADRO"/>
        <w:keepNext w:val="false"/>
        <w:widowControl/>
        <w:numPr>
          <w:ilvl w:val="0"/>
          <w:numId w:val="5"/>
        </w:numPr>
        <w:spacing w:before="120" w:after="120"/>
        <w:ind w:hanging="425" w:left="567"/>
        <w:rPr>
          <w:rFonts w:ascii="Calibri" w:hAnsi="Calibri" w:cs="Calibri"/>
          <w:sz w:val="22"/>
          <w:szCs w:val="22"/>
        </w:rPr>
      </w:pPr>
      <w:r>
        <w:rPr>
          <w:rFonts w:cs="Calibri" w:ascii="Calibri" w:hAnsi="Calibri"/>
          <w:sz w:val="22"/>
          <w:szCs w:val="22"/>
          <w:lang w:eastAsia="ar-SA"/>
        </w:rPr>
        <w:t xml:space="preserve">Para a consulta de </w:t>
      </w:r>
      <w:r>
        <w:rPr>
          <w:rFonts w:cs="Calibri" w:ascii="Calibri" w:hAnsi="Calibri"/>
          <w:color w:themeColor="text1" w:val="000000"/>
          <w:sz w:val="22"/>
          <w:szCs w:val="22"/>
        </w:rPr>
        <w:t>fornecedores</w:t>
      </w:r>
      <w:r>
        <w:rPr>
          <w:rFonts w:cs="Calibri" w:ascii="Calibri" w:hAnsi="Calibri"/>
          <w:sz w:val="22"/>
          <w:szCs w:val="22"/>
          <w:lang w:eastAsia="ar-SA"/>
        </w:rPr>
        <w:t xml:space="preserve"> pessoa jurídica poderá haver a substituição das consultas das alíneas “b”, “c” e “d” acima pela Consulta Consolidada de Pessoa Jurídica do TCU (https://certidoesapf.apps.tcu.gov.br/)</w:t>
      </w:r>
      <w:r>
        <w:rPr>
          <w:rFonts w:cs="Calibri" w:ascii="Calibri" w:hAnsi="Calibri"/>
          <w:b/>
          <w:sz w:val="22"/>
          <w:szCs w:val="22"/>
          <w:lang w:eastAsia="ar-SA"/>
        </w:rPr>
        <w:t>.</w:t>
      </w:r>
    </w:p>
    <w:p>
      <w:pPr>
        <w:pStyle w:val="PADRO"/>
        <w:keepNext w:val="false"/>
        <w:widowControl/>
        <w:numPr>
          <w:ilvl w:val="0"/>
          <w:numId w:val="1"/>
        </w:numPr>
        <w:spacing w:before="120" w:after="120"/>
        <w:rPr>
          <w:rFonts w:ascii="Calibri" w:hAnsi="Calibri" w:cs="Calibri"/>
          <w:b/>
          <w:bCs/>
          <w:color w:val="000000"/>
          <w:sz w:val="22"/>
          <w:szCs w:val="22"/>
        </w:rPr>
      </w:pPr>
      <w:r>
        <w:rPr>
          <w:rFonts w:cs="Calibri" w:ascii="Calibri" w:hAnsi="Calibri"/>
          <w:b/>
          <w:bCs/>
          <w:color w:val="000000"/>
          <w:sz w:val="22"/>
          <w:szCs w:val="22"/>
        </w:rPr>
        <w:t xml:space="preserve"> </w:t>
      </w:r>
      <w:r>
        <w:rPr>
          <w:rFonts w:cs="Calibri" w:ascii="Calibri" w:hAnsi="Calibri"/>
          <w:b/>
          <w:bCs/>
          <w:color w:val="000000"/>
          <w:sz w:val="22"/>
          <w:szCs w:val="22"/>
        </w:rPr>
        <w:t>HABILITAÇÃO JURÍDICA:</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color w:val="auto"/>
          <w:lang w:eastAsia="ar-SA" w:bidi="hi-IN"/>
        </w:rPr>
        <w:t>Registro comercial, no caso de empresa individual;</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color w:val="auto"/>
          <w:lang w:eastAsia="ar-SA" w:bidi="hi-IN"/>
        </w:rPr>
        <w:t>Ato constitutivo, estatuto ou contrato social em vigor, devidamente registrado, em se tratando de sociedades comerciais, e, no caso de sociedade por ações, acompanhado de documentos de eleição de seus administradores;</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color w:val="auto"/>
          <w:lang w:eastAsia="ar-SA" w:bidi="hi-IN"/>
        </w:rPr>
        <w:t>Enquadramento como empresa de pequeno porte ou microempresa emitido pela Junta Comercial, Industrial e Serviços do Rio Grande do Sul ou Órgão equivalente de outro Estado da Federação, ou, ainda, pela forma prevista no art. 39A da Lei federal nº 8.934, de 18 de novembro de1994, acompanhada do modelo constante no Anexo III ou declaração na forma eletrônica, quando for o caso.</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color w:val="auto"/>
          <w:lang w:eastAsia="ar-SA" w:bidi="hi-IN"/>
        </w:rPr>
        <w:t>Prova de inscrição no Cadastro Nacional de Pessoa Jurídica (CNPJ/MF);</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color w:val="auto"/>
          <w:lang w:eastAsia="ar-SA" w:bidi="hi-IN"/>
        </w:rPr>
        <w:t>Decreto de autorização, em se tratando de empresa ou sociedade estrangeira em funcionamento no País, e ato de registro ou autorização para funcionamento expedido pelo órgão competente, quando a atividade assim o exigir;</w:t>
      </w:r>
    </w:p>
    <w:p>
      <w:pPr>
        <w:pStyle w:val="Nivel2"/>
        <w:numPr>
          <w:ilvl w:val="1"/>
          <w:numId w:val="3"/>
        </w:numPr>
        <w:spacing w:before="0" w:after="0"/>
        <w:ind w:hanging="567" w:left="567"/>
        <w:rPr>
          <w:rFonts w:ascii="Calibri" w:hAnsi="Calibri" w:eastAsia="WenQuanYi Micro Hei" w:cs="Calibri"/>
          <w:color w:val="auto"/>
          <w:lang w:eastAsia="ar-SA" w:bidi="hi-IN"/>
        </w:rPr>
      </w:pPr>
      <w:r>
        <w:rPr>
          <w:rFonts w:eastAsia="WenQuanYi Micro Hei" w:cs="Calibri" w:ascii="Calibri" w:hAnsi="Calibri"/>
          <w:lang w:eastAsia="ar-SA" w:bidi="hi-IN"/>
        </w:rPr>
        <w:t>Declaração de cumprimento do disposto no inciso XXXIII do art. 7º da Constituição Federal, conforme o modelo do Decreto Federal n° 4.358/2002;</w:t>
      </w:r>
    </w:p>
    <w:p>
      <w:pPr>
        <w:pStyle w:val="PADRO"/>
        <w:keepNext w:val="false"/>
        <w:widowControl/>
        <w:numPr>
          <w:ilvl w:val="0"/>
          <w:numId w:val="1"/>
        </w:numPr>
        <w:spacing w:before="120" w:after="120"/>
        <w:rPr>
          <w:rFonts w:ascii="Calibri" w:hAnsi="Calibri" w:cs="Calibri"/>
          <w:sz w:val="22"/>
          <w:szCs w:val="22"/>
        </w:rPr>
      </w:pPr>
      <w:r>
        <w:rPr>
          <w:rFonts w:cs="Calibri" w:ascii="Calibri" w:hAnsi="Calibri"/>
          <w:b/>
          <w:bCs/>
          <w:color w:val="000000"/>
          <w:sz w:val="22"/>
          <w:szCs w:val="22"/>
        </w:rPr>
        <w:t>REGULARIDADE FISCAL, SOCIAL E TRABALHISTA:</w:t>
      </w:r>
    </w:p>
    <w:p>
      <w:pPr>
        <w:pStyle w:val="Normal"/>
        <w:numPr>
          <w:ilvl w:val="1"/>
          <w:numId w:val="1"/>
        </w:numPr>
        <w:tabs>
          <w:tab w:val="clear" w:pos="708"/>
          <w:tab w:val="left" w:pos="1440" w:leader="none"/>
        </w:tabs>
        <w:suppressAutoHyphens w:val="true"/>
        <w:snapToGrid w:val="false"/>
        <w:spacing w:lineRule="auto" w:line="276" w:before="120" w:after="120"/>
        <w:ind w:hanging="425" w:left="567"/>
        <w:jc w:val="both"/>
        <w:rPr>
          <w:rFonts w:ascii="Calibri" w:hAnsi="Calibri" w:cs="Calibri"/>
        </w:rPr>
      </w:pPr>
      <w:r>
        <w:rPr>
          <w:rFonts w:cs="Calibri"/>
        </w:rPr>
        <w:t>Prova de inscrição no Cadastro Nacional de Pessoas Jurídicas ou no Cadastro de Pessoas Físicas, conforme o caso;</w:t>
      </w:r>
    </w:p>
    <w:p>
      <w:pPr>
        <w:pStyle w:val="Normal"/>
        <w:numPr>
          <w:ilvl w:val="1"/>
          <w:numId w:val="1"/>
        </w:numPr>
        <w:tabs>
          <w:tab w:val="clear" w:pos="708"/>
          <w:tab w:val="left" w:pos="1440" w:leader="none"/>
        </w:tabs>
        <w:suppressAutoHyphens w:val="true"/>
        <w:snapToGrid w:val="false"/>
        <w:spacing w:lineRule="auto" w:line="276" w:before="120" w:after="120"/>
        <w:ind w:hanging="425" w:left="567"/>
        <w:jc w:val="both"/>
        <w:rPr>
          <w:rFonts w:ascii="Calibri" w:hAnsi="Calibri" w:cs="Calibri"/>
          <w:color w:val="000000"/>
        </w:rPr>
      </w:pPr>
      <w:r>
        <w:rPr>
          <w:rFonts w:cs="Calibri"/>
        </w:rPr>
        <w:t xml:space="preserve">Prova de regularidade fiscal perante a Fazenda Federal, Estadual e Municipal da Sede do Licitante </w:t>
      </w:r>
      <w:r>
        <w:rPr>
          <w:rFonts w:cs="Calibri"/>
          <w:color w:val="000000"/>
        </w:rPr>
        <w:t>Prova de regularidade com o Fundo de Garantia do Tempo de Serviço (FGTS);</w:t>
      </w:r>
    </w:p>
    <w:p>
      <w:pPr>
        <w:pStyle w:val="Normal"/>
        <w:numPr>
          <w:ilvl w:val="1"/>
          <w:numId w:val="1"/>
        </w:numPr>
        <w:tabs>
          <w:tab w:val="clear" w:pos="708"/>
          <w:tab w:val="left" w:pos="1440" w:leader="none"/>
        </w:tabs>
        <w:suppressAutoHyphens w:val="true"/>
        <w:snapToGrid w:val="false"/>
        <w:spacing w:lineRule="auto" w:line="276" w:before="120" w:after="120"/>
        <w:jc w:val="both"/>
        <w:rPr>
          <w:rFonts w:ascii="Calibri" w:hAnsi="Calibri" w:cs="Calibri"/>
          <w:b/>
        </w:rPr>
      </w:pPr>
      <w:r>
        <w:rPr>
          <w:rFonts w:cs="Calibri"/>
        </w:rPr>
        <w:t>Prova de regularidade com a Justiça do Trabalho, mediante a apresentação de certidão negativa ou positiva com efeito de negativa, nos exatos termos da disposição do §2° do art. 642, “a” da CLT.ANO 2023 - Edição 3112 - Data 21/08/2023 - Página 47 / 90;</w:t>
      </w:r>
    </w:p>
    <w:p>
      <w:pPr>
        <w:pStyle w:val="PADRO"/>
        <w:keepNext w:val="false"/>
        <w:widowControl/>
        <w:numPr>
          <w:ilvl w:val="0"/>
          <w:numId w:val="1"/>
        </w:numPr>
        <w:spacing w:before="120" w:after="120"/>
        <w:rPr>
          <w:rFonts w:ascii="Calibri" w:hAnsi="Calibri" w:cs="Calibri"/>
          <w:b/>
          <w:bCs/>
          <w:color w:val="000000"/>
          <w:sz w:val="22"/>
          <w:szCs w:val="22"/>
        </w:rPr>
      </w:pPr>
      <w:r>
        <w:rPr>
          <w:rFonts w:cs="Calibri" w:ascii="Calibri" w:hAnsi="Calibri"/>
          <w:b/>
          <w:bCs/>
          <w:color w:val="000000"/>
          <w:sz w:val="22"/>
          <w:szCs w:val="22"/>
        </w:rPr>
        <w:t>DOCUMENTOS RELATIVOS À QUALIFICAÇÃO TÉCNICA</w:t>
      </w:r>
    </w:p>
    <w:p>
      <w:pPr>
        <w:pStyle w:val="Normal"/>
        <w:tabs>
          <w:tab w:val="clear" w:pos="708"/>
          <w:tab w:val="left" w:pos="1440" w:leader="none"/>
        </w:tabs>
        <w:suppressAutoHyphens w:val="true"/>
        <w:snapToGrid w:val="false"/>
        <w:spacing w:lineRule="auto" w:line="276" w:before="120" w:after="120"/>
        <w:ind w:hanging="218" w:left="927"/>
        <w:rPr>
          <w:rFonts w:ascii="Calibri" w:hAnsi="Calibri" w:cs="Calibri"/>
        </w:rPr>
      </w:pPr>
      <w:r>
        <w:rPr>
          <w:rFonts w:cs="Calibri"/>
        </w:rPr>
        <w:t>Os documentos referentes à qualificação técnica são aqueles constantes no Termo de</w:t>
      </w:r>
    </w:p>
    <w:p>
      <w:pPr>
        <w:pStyle w:val="Normal"/>
        <w:tabs>
          <w:tab w:val="clear" w:pos="708"/>
          <w:tab w:val="left" w:pos="1440" w:leader="none"/>
        </w:tabs>
        <w:suppressAutoHyphens w:val="true"/>
        <w:snapToGrid w:val="false"/>
        <w:spacing w:lineRule="auto" w:line="276" w:before="120" w:after="120"/>
        <w:ind w:hanging="218" w:left="927"/>
        <w:rPr>
          <w:rFonts w:ascii="Calibri" w:hAnsi="Calibri" w:cs="Calibri"/>
        </w:rPr>
      </w:pPr>
      <w:r>
        <w:rPr>
          <w:rFonts w:cs="Calibri"/>
        </w:rPr>
        <w:t>Referência.</w:t>
      </w:r>
    </w:p>
    <w:p>
      <w:pPr>
        <w:pStyle w:val="PADRO"/>
        <w:keepNext w:val="false"/>
        <w:widowControl/>
        <w:numPr>
          <w:ilvl w:val="0"/>
          <w:numId w:val="1"/>
        </w:numPr>
        <w:spacing w:before="120" w:after="120"/>
        <w:rPr>
          <w:rFonts w:ascii="Calibri" w:hAnsi="Calibri" w:cs="Calibri"/>
          <w:b/>
          <w:bCs/>
          <w:color w:val="000000"/>
          <w:sz w:val="22"/>
          <w:szCs w:val="22"/>
        </w:rPr>
      </w:pPr>
      <w:r>
        <w:rPr>
          <w:rFonts w:cs="Calibri" w:ascii="Calibri" w:hAnsi="Calibri"/>
          <w:b/>
          <w:bCs/>
          <w:color w:val="000000"/>
          <w:sz w:val="22"/>
          <w:szCs w:val="22"/>
        </w:rPr>
        <w:t>DOCUMENTOS RELATIVOS À QUALIFICAÇÃO ECONÔMICO-FINANCEIRA</w:t>
      </w:r>
    </w:p>
    <w:p>
      <w:pPr>
        <w:pStyle w:val="ListParagraph"/>
        <w:numPr>
          <w:ilvl w:val="0"/>
          <w:numId w:val="4"/>
        </w:numPr>
        <w:jc w:val="both"/>
        <w:rPr/>
      </w:pPr>
      <w:r>
        <w:rPr/>
        <w:t>Certidão negativa em matéria falimentar, de recuperação judicial e extrajudicial, expedida pelo distribuidor da sede da licitante.</w:t>
      </w:r>
    </w:p>
    <w:p>
      <w:pPr>
        <w:pStyle w:val="ListParagraph"/>
        <w:numPr>
          <w:ilvl w:val="1"/>
          <w:numId w:val="4"/>
        </w:numPr>
        <w:ind w:hanging="567" w:left="1134"/>
        <w:jc w:val="both"/>
        <w:rPr/>
      </w:pPr>
      <w:r>
        <w:rPr/>
        <w:t>No caso de contratações para entrega imediata, assim considerada aquela com prazo de entrega de até 30 (trinta) dias da ordem de fornecimento, bem como nas contratações com valores inferiores a 25% (vinte e cinco por cento) do limite para dispensa de licitação para compras em geral e nas contratações de produtos para pesquisa e desenvolvimento de que trata a alínea “c” do inciso IV do art. 75 da Lei nº 14.133/2021, não será exigida a certidão negativa a que alude o presente item;</w:t>
      </w:r>
    </w:p>
    <w:p>
      <w:pPr>
        <w:pStyle w:val="PADRO"/>
        <w:keepNext w:val="false"/>
        <w:widowControl/>
        <w:numPr>
          <w:ilvl w:val="0"/>
          <w:numId w:val="1"/>
        </w:numPr>
        <w:spacing w:before="120" w:after="120"/>
        <w:rPr>
          <w:rFonts w:ascii="Calibri" w:hAnsi="Calibri" w:cs="Calibri"/>
          <w:b/>
          <w:bCs/>
          <w:color w:val="000000"/>
          <w:sz w:val="22"/>
          <w:szCs w:val="22"/>
        </w:rPr>
      </w:pPr>
      <w:r>
        <w:rPr>
          <w:rFonts w:cs="Calibri" w:ascii="Calibri" w:hAnsi="Calibri"/>
          <w:b/>
          <w:bCs/>
          <w:color w:val="000000"/>
          <w:sz w:val="22"/>
          <w:szCs w:val="22"/>
        </w:rPr>
        <w:t>DOCUMENTOS COMPLEMENTARES</w:t>
      </w:r>
    </w:p>
    <w:p>
      <w:pPr>
        <w:pStyle w:val="ListParagraph"/>
        <w:numPr>
          <w:ilvl w:val="0"/>
          <w:numId w:val="6"/>
        </w:numPr>
        <w:ind w:hanging="425" w:left="851"/>
        <w:rPr/>
      </w:pPr>
      <w:r>
        <w:rPr/>
        <w:t>Declaração conforme Apêndice I.</w:t>
      </w:r>
    </w:p>
    <w:p>
      <w:pPr>
        <w:pStyle w:val="Normal"/>
        <w:rPr/>
      </w:pPr>
      <w:r>
        <w:rPr/>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APENDICE I - MODELO DE DECLARAÇÕES</w:t>
      </w:r>
    </w:p>
    <w:p>
      <w:pPr>
        <w:pStyle w:val="Normal"/>
        <w:rPr/>
      </w:pPr>
      <w:r>
        <w:rPr/>
      </w:r>
    </w:p>
    <w:p>
      <w:pPr>
        <w:pStyle w:val="Normal"/>
        <w:jc w:val="both"/>
        <w:rPr/>
      </w:pPr>
      <w:r>
        <w:rPr/>
        <w:t>Dispensa de licitação n º xxx/2024</w:t>
      </w:r>
    </w:p>
    <w:p>
      <w:pPr>
        <w:pStyle w:val="ListParagraph"/>
        <w:ind w:hanging="0" w:left="284"/>
        <w:jc w:val="both"/>
        <w:rPr/>
      </w:pPr>
      <w:r>
        <w:rPr/>
        <w:t>(NOME DA EMPRESA) _________________________________________, CNPJ No _________________________________, sediada ___________________(endereço completo) ____________________________________, sob as penas da lei por seu representante legal o(a) Sr(a) -____________, portador(a) da Carteira de identidade nº.__________, expedida pela SSP/___, e do CPF: nº. ______________, DECLARA que:</w:t>
      </w:r>
    </w:p>
    <w:p>
      <w:pPr>
        <w:pStyle w:val="ListParagraph"/>
        <w:numPr>
          <w:ilvl w:val="6"/>
          <w:numId w:val="4"/>
        </w:numPr>
        <w:ind w:hanging="284" w:left="284"/>
        <w:jc w:val="both"/>
        <w:rPr/>
      </w:pPr>
      <w:r>
        <w:rPr/>
        <w:t>Para fins do disposto no inciso XXXIII do art. 7º da Constituição Federal, que não emprega menor dezoito anos em trabalho noturno, perigoso ou insalubre e não emprega menor de dezesseis anos. Ressalva: emprega menor, a partir de quatorze anos, na condição de aprendiz.</w:t>
      </w:r>
    </w:p>
    <w:p>
      <w:pPr>
        <w:pStyle w:val="ListParagraph"/>
        <w:numPr>
          <w:ilvl w:val="6"/>
          <w:numId w:val="4"/>
        </w:numPr>
        <w:ind w:hanging="284" w:left="284"/>
        <w:jc w:val="both"/>
        <w:rPr/>
      </w:pPr>
      <w:r>
        <w:rPr/>
        <w:t>que até a presente data inexistem fatos impeditivos para sua habilitação para o presente processo licitatório, ciente da obrigatoriedade de declarar ocorrências posteriores, especialmente que não se encontra cumprindo pena de "INIDONEIDADE PARA LICITAR E CONTRATAR COM A ADMINISTRAÇÃO PÚBLICA, em relação a qualquer de suas esferas Federal, Estadual, Municipal e no Distrito Federal (art. 156 da Lei nº 14133/2021).</w:t>
      </w:r>
    </w:p>
    <w:p>
      <w:pPr>
        <w:pStyle w:val="ListParagraph"/>
        <w:numPr>
          <w:ilvl w:val="6"/>
          <w:numId w:val="4"/>
        </w:numPr>
        <w:ind w:hanging="284" w:left="284"/>
        <w:jc w:val="both"/>
        <w:rPr/>
      </w:pPr>
      <w:r>
        <w:rPr>
          <w:rFonts w:cs="Arial" w:ascii="Arial" w:hAnsi="Arial"/>
          <w:sz w:val="20"/>
          <w:szCs w:val="20"/>
        </w:rPr>
        <w:t>cumpre as exigências de reserva de cargos para pessoa com deficiência e para reabilitado da Previdência Social, previstas em lei e em outras normas específicas</w:t>
      </w:r>
    </w:p>
    <w:p>
      <w:pPr>
        <w:pStyle w:val="ListParagraph"/>
        <w:numPr>
          <w:ilvl w:val="6"/>
          <w:numId w:val="4"/>
        </w:numPr>
        <w:ind w:hanging="284" w:left="284"/>
        <w:jc w:val="both"/>
        <w:rPr/>
      </w:pPr>
      <w:r>
        <w:rPr/>
        <w:t>que cumpre plenamente os requisitos de habilitação estabelecidos no processo supra ciente da obrigatoriedade de declarar ocorrências posteriores.</w:t>
      </w:r>
    </w:p>
    <w:p>
      <w:pPr>
        <w:pStyle w:val="ListParagraph"/>
        <w:numPr>
          <w:ilvl w:val="6"/>
          <w:numId w:val="4"/>
        </w:numPr>
        <w:ind w:hanging="284" w:left="284"/>
        <w:jc w:val="both"/>
        <w:rPr/>
      </w:pPr>
      <w:r>
        <w:rPr>
          <w:rFonts w:cs="Arial" w:ascii="Arial" w:hAnsi="Arial"/>
          <w:sz w:val="20"/>
          <w:szCs w:val="20"/>
        </w:rPr>
        <w:t>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ListParagraph"/>
        <w:numPr>
          <w:ilvl w:val="6"/>
          <w:numId w:val="4"/>
        </w:numPr>
        <w:ind w:hanging="284" w:left="284"/>
        <w:jc w:val="both"/>
        <w:rPr/>
      </w:pPr>
      <w:r>
        <w:rPr/>
        <w:t>de que o licitante tomou conhecimento de todas as informações e das condições locais para o cumprimento das obrigações objeto da licitação.</w:t>
      </w:r>
    </w:p>
    <w:p>
      <w:pPr>
        <w:pStyle w:val="ListParagraph"/>
        <w:numPr>
          <w:ilvl w:val="6"/>
          <w:numId w:val="4"/>
        </w:numPr>
        <w:ind w:hanging="284" w:left="284"/>
        <w:jc w:val="both"/>
        <w:rPr/>
      </w:pPr>
      <w:r>
        <w:rPr>
          <w:rFonts w:cs="Arial" w:ascii="Arial" w:hAnsi="Arial"/>
          <w:lang w:eastAsia="pt-BR"/>
        </w:rPr>
        <w:t>Que não possui em seu quadro societário servidor público da ativa, ou empregado de empresa pública ou de sociedade de economia mista, bem como não se enquadra nos demais impedimentos do art. 9º, §1º, INC. II, da Lei 14.133/2021, Lei Municipal 2294/84, Art. 206, XVI e XVII e Art. 93 da Lei Orgânica do Município de Bagé</w:t>
      </w:r>
      <w:r>
        <w:rPr>
          <w:rFonts w:cs="Arial" w:ascii="Arial" w:hAnsi="Arial"/>
        </w:rPr>
        <w:t xml:space="preserve">; </w:t>
      </w:r>
    </w:p>
    <w:p>
      <w:pPr>
        <w:pStyle w:val="Normal"/>
        <w:jc w:val="both"/>
        <w:rPr/>
      </w:pPr>
      <w:r>
        <w:rPr/>
      </w:r>
    </w:p>
    <w:p>
      <w:pPr>
        <w:pStyle w:val="Default"/>
        <w:spacing w:lineRule="auto" w:line="276" w:before="0" w:after="0"/>
        <w:contextualSpacing/>
        <w:jc w:val="right"/>
        <w:rPr>
          <w:sz w:val="22"/>
          <w:szCs w:val="22"/>
        </w:rPr>
      </w:pPr>
      <w:r>
        <w:rPr>
          <w:rFonts w:cs="Arial" w:ascii="Arial" w:hAnsi="Arial"/>
          <w:sz w:val="22"/>
          <w:szCs w:val="22"/>
        </w:rPr>
        <w:t>Local e data.</w:t>
      </w:r>
    </w:p>
    <w:p>
      <w:pPr>
        <w:pStyle w:val="Default"/>
        <w:spacing w:lineRule="auto" w:line="276" w:before="0" w:after="0"/>
        <w:contextualSpacing/>
        <w:jc w:val="right"/>
        <w:rPr>
          <w:rFonts w:ascii="Arial" w:hAnsi="Arial" w:cs="Arial"/>
          <w:sz w:val="22"/>
          <w:szCs w:val="22"/>
        </w:rPr>
      </w:pPr>
      <w:r>
        <w:rPr>
          <w:rFonts w:cs="Arial" w:ascii="Arial" w:hAnsi="Arial"/>
          <w:sz w:val="22"/>
          <w:szCs w:val="22"/>
        </w:rPr>
      </w:r>
    </w:p>
    <w:p>
      <w:pPr>
        <w:pStyle w:val="Default"/>
        <w:spacing w:lineRule="auto" w:line="276" w:before="0" w:after="0"/>
        <w:contextualSpacing/>
        <w:jc w:val="right"/>
        <w:rPr>
          <w:sz w:val="22"/>
          <w:szCs w:val="22"/>
        </w:rPr>
      </w:pPr>
      <w:r>
        <w:rPr>
          <w:rFonts w:cs="Arial" w:ascii="Arial" w:hAnsi="Arial"/>
          <w:sz w:val="22"/>
          <w:szCs w:val="22"/>
        </w:rPr>
        <w:t>___________________________________________________</w:t>
      </w:r>
    </w:p>
    <w:p>
      <w:pPr>
        <w:pStyle w:val="Default"/>
        <w:spacing w:lineRule="auto" w:line="276" w:before="0" w:after="0"/>
        <w:contextualSpacing/>
        <w:jc w:val="right"/>
        <w:rPr>
          <w:sz w:val="22"/>
          <w:szCs w:val="22"/>
        </w:rPr>
      </w:pPr>
      <w:r>
        <w:rPr>
          <w:rFonts w:cs="Arial" w:ascii="Arial" w:hAnsi="Arial"/>
          <w:sz w:val="22"/>
          <w:szCs w:val="22"/>
        </w:rPr>
        <w:t>Assinatura do representante legal da licitante</w:t>
      </w:r>
    </w:p>
    <w:p>
      <w:pPr>
        <w:pStyle w:val="Standard"/>
        <w:spacing w:lineRule="auto" w:line="312" w:before="0" w:after="288"/>
        <w:ind w:firstLine="567"/>
        <w:jc w:val="right"/>
        <w:rPr>
          <w:rFonts w:ascii="Arial" w:hAnsi="Arial" w:cs="Arial"/>
          <w:sz w:val="22"/>
          <w:szCs w:val="22"/>
        </w:rPr>
      </w:pPr>
      <w:r>
        <w:rPr>
          <w:rFonts w:cs="Arial" w:ascii="Arial" w:hAnsi="Arial"/>
          <w:sz w:val="22"/>
          <w:szCs w:val="22"/>
        </w:rPr>
        <w:t>Carimbo da empresa</w:t>
      </w:r>
    </w:p>
    <w:p>
      <w:pPr>
        <w:pStyle w:val="ListParagraph"/>
        <w:spacing w:before="0" w:after="160"/>
        <w:ind w:hanging="0" w:left="284"/>
        <w:contextualSpacing/>
        <w:jc w:val="both"/>
        <w:rPr/>
      </w:pPr>
      <w:r>
        <w:rPr/>
      </w:r>
    </w:p>
    <w:sectPr>
      <w:headerReference w:type="default" r:id="rId4"/>
      <w:footerReference w:type="default" r:id="rId5"/>
      <w:type w:val="nextPage"/>
      <w:pgSz w:w="11906" w:h="16838"/>
      <w:pgMar w:left="1134" w:right="991" w:gutter="0" w:header="708" w:top="2396" w:footer="555"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Dispensa de Licitação_002</w:t>
    </w:r>
    <w:r>
      <w:rPr/>
      <w:t>9</w:t>
    </w:r>
    <w:r>
      <w:rPr/>
      <w:t>_2024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0040" cy="1015365"/>
          <wp:effectExtent l="0" t="0" r="0" b="0"/>
          <wp:docPr id="1" name="Imagem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descr=""/>
                  <pic:cNvPicPr>
                    <a:picLocks noChangeAspect="1" noChangeArrowheads="1"/>
                  </pic:cNvPicPr>
                </pic:nvPicPr>
                <pic:blipFill>
                  <a:blip r:embed="rId1"/>
                  <a:stretch>
                    <a:fillRect/>
                  </a:stretch>
                </pic:blipFill>
                <pic:spPr bwMode="auto">
                  <a:xfrm>
                    <a:off x="0" y="0"/>
                    <a:ext cx="5400040" cy="101536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b w:val="false"/>
        <w:szCs w:val="22"/>
        <w:bCs/>
      </w:rPr>
    </w:lvl>
    <w:lvl w:ilvl="1">
      <w:start w:val="1"/>
      <w:numFmt w:val="decimal"/>
      <w:lvlText w:val="%1.%2"/>
      <w:lvlJc w:val="left"/>
      <w:pPr>
        <w:tabs>
          <w:tab w:val="num" w:pos="0"/>
        </w:tabs>
        <w:ind w:left="927" w:hanging="360"/>
      </w:pPr>
      <w:rPr>
        <w:sz w:val="20"/>
        <w:b w:val="false"/>
        <w:szCs w:val="20"/>
      </w:rPr>
    </w:lvl>
    <w:lvl w:ilvl="2">
      <w:start w:val="1"/>
      <w:numFmt w:val="decimal"/>
      <w:lvlText w:val="%1.%2.%3"/>
      <w:lvlJc w:val="left"/>
      <w:pPr>
        <w:tabs>
          <w:tab w:val="num" w:pos="0"/>
        </w:tabs>
        <w:ind w:left="1854" w:hanging="720"/>
      </w:pPr>
      <w:rPr>
        <w:sz w:val="20"/>
        <w:b w:val="false"/>
        <w:szCs w:val="20"/>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2">
    <w:lvl w:ilvl="0">
      <w:start w:val="1"/>
      <w:numFmt w:val="decimal"/>
      <w:lvlText w:val="%1."/>
      <w:lvlJc w:val="left"/>
      <w:pPr>
        <w:tabs>
          <w:tab w:val="num" w:pos="0"/>
        </w:tabs>
        <w:ind w:left="360" w:hanging="360"/>
      </w:pPr>
      <w:rPr>
        <w:b/>
        <w:rFonts w:ascii="Times New Roman" w:hAnsi="Times New Roman"/>
      </w:rPr>
    </w:lvl>
    <w:lvl w:ilvl="1">
      <w:start w:val="1"/>
      <w:numFmt w:val="decimal"/>
      <w:lvlText w:val="%1.%2."/>
      <w:lvlJc w:val="left"/>
      <w:pPr>
        <w:tabs>
          <w:tab w:val="num" w:pos="0"/>
        </w:tabs>
        <w:ind w:left="858" w:hanging="432"/>
      </w:pPr>
      <w:rPr>
        <w:dstrike w:val="false"/>
        <w:strike w:val="false"/>
        <w:sz w:val="22"/>
        <w:i w:val="false"/>
        <w:u w:val="none"/>
        <w:b w:val="false"/>
        <w:szCs w:val="22"/>
        <w:bCs/>
        <w:rFonts w:ascii="Arial" w:hAnsi="Arial" w:cs="Arial"/>
        <w:color w:val="auto"/>
      </w:rPr>
    </w:lvl>
    <w:lvl w:ilvl="2">
      <w:start w:val="1"/>
      <w:numFmt w:val="decimal"/>
      <w:lvlText w:val="%1.%2.%3."/>
      <w:lvlJc w:val="left"/>
      <w:pPr>
        <w:tabs>
          <w:tab w:val="num" w:pos="0"/>
        </w:tabs>
        <w:ind w:left="1214"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720" w:hanging="360"/>
      </w:pPr>
      <w:rPr>
        <w:sz w:val="22"/>
        <w:szCs w:val="22"/>
      </w:rPr>
    </w:lvl>
    <w:lvl w:ilvl="1">
      <w:start w:val="1"/>
      <w:numFmt w:val="decimal"/>
      <w:lvlText w:val="2.%2."/>
      <w:lvlJc w:val="left"/>
      <w:pPr>
        <w:tabs>
          <w:tab w:val="num" w:pos="0"/>
        </w:tabs>
        <w:ind w:left="720" w:hanging="360"/>
      </w:pPr>
      <w:rPr>
        <w:sz w:val="22"/>
        <w:i w:val="false"/>
        <w:b w:val="false"/>
        <w:szCs w:val="22"/>
        <w:iCs/>
        <w:bCs w:val="false"/>
        <w:rFonts w:ascii="Calibri Light" w:hAnsi="Calibri Light" w:eastAsia="Times New Roman" w:cs="Calibri Light" w:asciiTheme="majorHAnsi" w:cstheme="majorHAnsi" w:hAnsiTheme="majorHAnsi"/>
        <w:color w:val="00000A"/>
      </w:rPr>
    </w:lvl>
    <w:lvl w:ilvl="2">
      <w:start w:val="1"/>
      <w:numFmt w:val="decimal"/>
      <w:lvlText w:val="%1.%2.%3"/>
      <w:lvlJc w:val="left"/>
      <w:pPr>
        <w:tabs>
          <w:tab w:val="num" w:pos="0"/>
        </w:tabs>
        <w:ind w:left="1080" w:hanging="720"/>
      </w:pPr>
      <w:rPr>
        <w:sz w:val="22"/>
        <w:i w:val="false"/>
        <w:b w:val="false"/>
        <w:szCs w:val="22"/>
        <w:iCs w:val="false"/>
        <w:bCs w:val="false"/>
        <w:rFonts w:ascii="Arial" w:hAnsi="Arial"/>
      </w:rPr>
    </w:lvl>
    <w:lvl w:ilvl="3">
      <w:start w:val="1"/>
      <w:numFmt w:val="decimal"/>
      <w:lvlText w:val="%1.%2.%3.%4"/>
      <w:lvlJc w:val="left"/>
      <w:pPr>
        <w:tabs>
          <w:tab w:val="num" w:pos="0"/>
        </w:tabs>
        <w:ind w:left="1080" w:hanging="720"/>
      </w:pPr>
      <w:rPr>
        <w:sz w:val="22"/>
        <w:szCs w:val="22"/>
        <w:rFonts w:ascii="Arial" w:hAnsi="Arial"/>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5.%1."/>
      <w:lvlJc w:val="left"/>
      <w:pPr>
        <w:tabs>
          <w:tab w:val="num" w:pos="0"/>
        </w:tabs>
        <w:ind w:left="720" w:hanging="360"/>
      </w:pPr>
      <w:rPr>
        <w:sz w:val="22"/>
        <w:szCs w:val="22"/>
        <w:rFonts w:ascii="Calibri Light" w:hAnsi="Calibri Light" w:eastAsia="Times New Roman" w:cs="Calibri Light" w:asciiTheme="majorHAnsi" w:cstheme="majorHAnsi" w:hAnsiTheme="majorHAnsi"/>
        <w:color w:val="00000A"/>
      </w:rPr>
    </w:lvl>
    <w:lvl w:ilvl="1">
      <w:start w:val="1"/>
      <w:numFmt w:val="decimal"/>
      <w:lvlText w:val="5.1.%2."/>
      <w:lvlJc w:val="left"/>
      <w:pPr>
        <w:tabs>
          <w:tab w:val="num" w:pos="0"/>
        </w:tabs>
        <w:ind w:left="1440" w:hanging="360"/>
      </w:pPr>
      <w:rPr>
        <w:rFonts w:ascii="Calibri Light" w:hAnsi="Calibri Light" w:cs="Calibri Light" w:asciiTheme="majorHAnsi" w:cstheme="majorHAnsi" w:hAnsiTheme="majorHAnsi"/>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6.%1."/>
      <w:lvlJc w:val="left"/>
      <w:pPr>
        <w:tabs>
          <w:tab w:val="num" w:pos="0"/>
        </w:tabs>
        <w:ind w:left="720" w:hanging="360"/>
      </w:pPr>
      <w:rPr>
        <w:sz w:val="22"/>
        <w:szCs w:val="22"/>
        <w:rFonts w:ascii="Arial" w:hAnsi="Arial" w:eastAsia="Times New Roman" w:cs="Arial"/>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461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Heading1">
    <w:name w:val="Heading 1"/>
    <w:basedOn w:val="Normal"/>
    <w:next w:val="Normal"/>
    <w:link w:val="Ttulo1Char"/>
    <w:uiPriority w:val="9"/>
    <w:qFormat/>
    <w:rsid w:val="005d4611"/>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d4611"/>
    <w:rPr/>
  </w:style>
  <w:style w:type="character" w:styleId="RodapChar" w:customStyle="1">
    <w:name w:val="Rodapé Char"/>
    <w:basedOn w:val="DefaultParagraphFont"/>
    <w:uiPriority w:val="99"/>
    <w:qFormat/>
    <w:rsid w:val="005d4611"/>
    <w:rPr/>
  </w:style>
  <w:style w:type="character" w:styleId="TtuloChar" w:customStyle="1">
    <w:name w:val="Título Char"/>
    <w:basedOn w:val="DefaultParagraphFont"/>
    <w:uiPriority w:val="1"/>
    <w:qFormat/>
    <w:rsid w:val="005d4611"/>
    <w:rPr>
      <w:rFonts w:ascii="Calibri Light" w:hAnsi="Calibri Light" w:eastAsia="" w:cs="" w:asciiTheme="majorHAnsi" w:cstheme="majorBidi" w:eastAsiaTheme="majorEastAsia" w:hAnsiTheme="majorHAnsi"/>
      <w:spacing w:val="-10"/>
      <w:kern w:val="2"/>
      <w:sz w:val="56"/>
      <w:szCs w:val="56"/>
      <w:lang w:eastAsia="pt-BR"/>
    </w:rPr>
  </w:style>
  <w:style w:type="character" w:styleId="TtuloChar1" w:customStyle="1">
    <w:name w:val="Título Char1"/>
    <w:basedOn w:val="DefaultParagraphFont"/>
    <w:uiPriority w:val="10"/>
    <w:qFormat/>
    <w:rsid w:val="005d4611"/>
    <w:rPr>
      <w:rFonts w:ascii="Calibri Light" w:hAnsi="Calibri Light" w:eastAsia="" w:cs="" w:asciiTheme="majorHAnsi" w:cstheme="majorBidi" w:eastAsiaTheme="majorEastAsia" w:hAnsiTheme="majorHAnsi"/>
      <w:spacing w:val="-10"/>
      <w:kern w:val="2"/>
      <w:sz w:val="56"/>
      <w:szCs w:val="56"/>
    </w:rPr>
  </w:style>
  <w:style w:type="character" w:styleId="Hyperlink" w:customStyle="1">
    <w:name w:val="Hyperlink"/>
    <w:uiPriority w:val="99"/>
    <w:rsid w:val="005d4611"/>
    <w:rPr>
      <w:color w:val="000080"/>
      <w:u w:val="single"/>
    </w:rPr>
  </w:style>
  <w:style w:type="character" w:styleId="Nivel2Char" w:customStyle="1">
    <w:name w:val="Nivel 2 Char"/>
    <w:basedOn w:val="DefaultParagraphFont"/>
    <w:link w:val="Nivel2"/>
    <w:qFormat/>
    <w:locked/>
    <w:rsid w:val="005d4611"/>
    <w:rPr>
      <w:rFonts w:ascii="Arial" w:hAnsi="Arial" w:cs="Arial"/>
      <w:color w:val="000000"/>
      <w:lang w:eastAsia="pt-BR"/>
    </w:rPr>
  </w:style>
  <w:style w:type="character" w:styleId="PargrafodaListaChar" w:customStyle="1">
    <w:name w:val="Parágrafo da Lista Char"/>
    <w:basedOn w:val="DefaultParagraphFont"/>
    <w:link w:val="ListParagraph"/>
    <w:uiPriority w:val="34"/>
    <w:qFormat/>
    <w:rsid w:val="005d4611"/>
    <w:rPr/>
  </w:style>
  <w:style w:type="character" w:styleId="CorpodetextoChar" w:customStyle="1">
    <w:name w:val="Corpo de texto Char"/>
    <w:basedOn w:val="DefaultParagraphFont"/>
    <w:uiPriority w:val="99"/>
    <w:semiHidden/>
    <w:qFormat/>
    <w:rsid w:val="005d4611"/>
    <w:rPr/>
  </w:style>
  <w:style w:type="character" w:styleId="Ttulo1Char" w:customStyle="1">
    <w:name w:val="Título 1 Char"/>
    <w:basedOn w:val="DefaultParagraphFont"/>
    <w:uiPriority w:val="9"/>
    <w:qFormat/>
    <w:rsid w:val="005d4611"/>
    <w:rPr>
      <w:rFonts w:ascii="Calibri Light" w:hAnsi="Calibri Light" w:eastAsia="" w:cs="" w:asciiTheme="majorHAnsi" w:cstheme="majorBidi" w:eastAsiaTheme="majorEastAsia" w:hAnsiTheme="majorHAnsi"/>
      <w:color w:themeColor="accent1" w:themeShade="bf" w:val="2E74B5"/>
      <w:sz w:val="32"/>
      <w:szCs w:val="32"/>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iPriority w:val="99"/>
    <w:semiHidden/>
    <w:unhideWhenUsed/>
    <w:rsid w:val="005d4611"/>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rPr/>
  </w:style>
  <w:style w:type="paragraph" w:styleId="Header">
    <w:name w:val="Header"/>
    <w:basedOn w:val="Normal"/>
    <w:link w:val="CabealhoChar"/>
    <w:uiPriority w:val="99"/>
    <w:unhideWhenUsed/>
    <w:rsid w:val="005d4611"/>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5d4611"/>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argrafodaListaChar"/>
    <w:uiPriority w:val="34"/>
    <w:qFormat/>
    <w:rsid w:val="005d4611"/>
    <w:pPr>
      <w:spacing w:before="0" w:after="160"/>
      <w:ind w:hanging="0" w:left="720"/>
      <w:contextualSpacing/>
    </w:pPr>
    <w:rPr/>
  </w:style>
  <w:style w:type="paragraph" w:styleId="Title">
    <w:name w:val="Title"/>
    <w:basedOn w:val="Normal"/>
    <w:next w:val="BodyText"/>
    <w:link w:val="TtuloChar"/>
    <w:uiPriority w:val="1"/>
    <w:qFormat/>
    <w:rsid w:val="005d4611"/>
    <w:pPr>
      <w:suppressAutoHyphens w:val="true"/>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lang w:eastAsia="pt-BR"/>
    </w:rPr>
  </w:style>
  <w:style w:type="paragraph" w:styleId="PADRO" w:customStyle="1">
    <w:name w:val="PADRÃO"/>
    <w:qFormat/>
    <w:rsid w:val="005d4611"/>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Nivel01" w:customStyle="1">
    <w:name w:val="Nivel 01"/>
    <w:basedOn w:val="Heading1"/>
    <w:next w:val="Normal"/>
    <w:autoRedefine/>
    <w:qFormat/>
    <w:rsid w:val="005d4611"/>
    <w:pPr>
      <w:numPr>
        <w:ilvl w:val="0"/>
        <w:numId w:val="3"/>
      </w:numPr>
      <w:shd w:val="clear" w:color="auto" w:fill="D9D9D9" w:themeFill="background1" w:themeFillShade="d9"/>
      <w:tabs>
        <w:tab w:val="clear" w:pos="708"/>
        <w:tab w:val="left" w:pos="360" w:leader="none"/>
      </w:tabs>
      <w:suppressAutoHyphens w:val="true"/>
      <w:spacing w:lineRule="auto" w:line="360"/>
      <w:ind w:hanging="142" w:left="426"/>
      <w:jc w:val="both"/>
      <w:outlineLvl w:val="9"/>
    </w:pPr>
    <w:rPr>
      <w:rFonts w:ascii="Arial" w:hAnsi="Arial" w:cs="Arial"/>
      <w:b/>
      <w:bCs/>
      <w:color w:themeColor="accent1" w:themeShade="bf" w:val="auto"/>
      <w:sz w:val="20"/>
      <w:szCs w:val="20"/>
    </w:rPr>
  </w:style>
  <w:style w:type="paragraph" w:styleId="Nivel2" w:customStyle="1">
    <w:name w:val="Nivel 2"/>
    <w:basedOn w:val="Normal"/>
    <w:link w:val="Nivel2Char"/>
    <w:qFormat/>
    <w:rsid w:val="005d4611"/>
    <w:pPr>
      <w:numPr>
        <w:ilvl w:val="0"/>
        <w:numId w:val="2"/>
      </w:numPr>
      <w:suppressAutoHyphens w:val="true"/>
      <w:spacing w:lineRule="auto" w:line="276" w:before="120" w:after="120"/>
      <w:jc w:val="both"/>
    </w:pPr>
    <w:rPr>
      <w:rFonts w:ascii="Arial" w:hAnsi="Arial" w:cs="Arial"/>
      <w:color w:val="000000"/>
      <w:lang w:eastAsia="pt-BR"/>
    </w:rPr>
  </w:style>
  <w:style w:type="paragraph" w:styleId="Default" w:customStyle="1">
    <w:name w:val="Default"/>
    <w:qFormat/>
    <w:rsid w:val="005c3538"/>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zh-CN" w:bidi="ar-SA"/>
    </w:rPr>
  </w:style>
  <w:style w:type="paragraph" w:styleId="Standard" w:customStyle="1">
    <w:name w:val="Standard"/>
    <w:qFormat/>
    <w:rsid w:val="005c3538"/>
    <w:pPr>
      <w:widowControl/>
      <w:suppressAutoHyphens w:val="true"/>
      <w:bidi w:val="0"/>
      <w:spacing w:lineRule="auto" w:line="240" w:before="0" w:after="0"/>
      <w:jc w:val="left"/>
    </w:pPr>
    <w:rPr>
      <w:rFonts w:ascii="Liberation Serif" w:hAnsi="Liberation Serif" w:eastAsia="NSimSun" w:cs="Lucida Sans"/>
      <w:color w:val="auto"/>
      <w:kern w:val="2"/>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atransparencia.gov.br/ceis"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TotalTime>
  <Application>LibreOffice/7.6.4.1$Windows_X86_64 LibreOffice_project/e19e193f88cd6c0525a17fb7a176ed8e6a3e2aa1</Application>
  <AppVersion>15.0000</AppVersion>
  <Pages>3</Pages>
  <Words>923</Words>
  <Characters>5350</Characters>
  <CharactersWithSpaces>6214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2024-05-20T17:24:00Z</dcterms:created>
  <dc:creator>Conta da Microsoft</dc:creator>
  <dc:description/>
  <dc:language>pt-BR</dc:language>
  <cp:lastModifiedBy/>
  <dcterms:modified xsi:type="dcterms:W3CDTF">2024-07-01T13:48:24Z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